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right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</w:p>
    <w:tbl>
      <w:tblPr>
        <w:tblStyle w:val="Style_1"/>
        <w:tblLayout w:type="fixed"/>
        <w:tblCellMar>
          <w:left w:type="dxa" w:w="71"/>
          <w:right w:type="dxa" w:w="71"/>
        </w:tblCellMar>
      </w:tblPr>
      <w:tblGrid>
        <w:gridCol w:w="10277"/>
      </w:tblGrid>
      <w:tr>
        <w:tc>
          <w:tcPr>
            <w:tcW w:type="dxa" w:w="10277"/>
            <w:tcMar>
              <w:left w:type="dxa" w:w="71"/>
              <w:right w:type="dxa" w:w="71"/>
            </w:tcMar>
          </w:tcPr>
          <w:p w14:paraId="02000000">
            <w:pPr>
              <w:ind/>
              <w:jc w:val="right"/>
              <w:rPr>
                <w:b w:val="1"/>
              </w:rPr>
            </w:pPr>
          </w:p>
        </w:tc>
      </w:tr>
    </w:tbl>
    <w:p w14:paraId="03000000">
      <w:pPr>
        <w:ind/>
        <w:jc w:val="both"/>
        <w:rPr>
          <w:sz w:val="28"/>
        </w:rPr>
      </w:pPr>
      <w:r>
        <w:rPr>
          <w:sz w:val="28"/>
        </w:rPr>
        <w:t xml:space="preserve">      </w:t>
      </w:r>
    </w:p>
    <w:p w14:paraId="04000000">
      <w:pPr>
        <w:pStyle w:val="Style_2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sz w:val="28"/>
        </w:rPr>
        <w:t xml:space="preserve">          </w:t>
      </w:r>
      <w:r>
        <w:rPr>
          <w:rFonts w:ascii="Times New Roman" w:hAnsi="Times New Roman"/>
          <w:b w:val="1"/>
          <w:sz w:val="28"/>
        </w:rPr>
        <w:t xml:space="preserve">Дефицит </w:t>
      </w:r>
      <w:r>
        <w:rPr>
          <w:rFonts w:ascii="Times New Roman" w:hAnsi="Times New Roman"/>
          <w:b w:val="1"/>
          <w:sz w:val="28"/>
        </w:rPr>
        <w:t xml:space="preserve">(профицит) </w:t>
      </w:r>
      <w:r>
        <w:rPr>
          <w:rFonts w:ascii="Times New Roman" w:hAnsi="Times New Roman"/>
          <w:b w:val="1"/>
          <w:sz w:val="28"/>
        </w:rPr>
        <w:t>бюджета</w:t>
      </w:r>
      <w:r>
        <w:rPr>
          <w:rFonts w:ascii="Times New Roman" w:hAnsi="Times New Roman"/>
          <w:b w:val="1"/>
          <w:sz w:val="28"/>
        </w:rPr>
        <w:t xml:space="preserve"> Зимовниковского </w:t>
      </w:r>
      <w:r>
        <w:rPr>
          <w:rFonts w:ascii="Times New Roman" w:hAnsi="Times New Roman"/>
          <w:b w:val="1"/>
          <w:sz w:val="28"/>
        </w:rPr>
        <w:t>сельского поселения Зимовниковского района</w:t>
      </w:r>
    </w:p>
    <w:p w14:paraId="05000000">
      <w:pPr>
        <w:pStyle w:val="Style_2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и источники его финансирования</w:t>
      </w:r>
    </w:p>
    <w:p w14:paraId="06000000">
      <w:pPr>
        <w:pStyle w:val="Style_3"/>
        <w:tabs>
          <w:tab w:leader="none" w:pos="2340" w:val="left"/>
        </w:tabs>
        <w:ind w:firstLine="709" w:left="0"/>
        <w:jc w:val="both"/>
      </w:pPr>
    </w:p>
    <w:p w14:paraId="07000000">
      <w:pPr>
        <w:ind w:firstLine="709" w:left="0"/>
        <w:jc w:val="both"/>
        <w:rPr>
          <w:sz w:val="28"/>
        </w:rPr>
      </w:pPr>
      <w:r>
        <w:t xml:space="preserve">   </w:t>
      </w:r>
      <w:r>
        <w:rPr>
          <w:sz w:val="28"/>
        </w:rPr>
        <w:t xml:space="preserve">Бюджет </w:t>
      </w:r>
      <w:r>
        <w:rPr>
          <w:sz w:val="28"/>
        </w:rPr>
        <w:t>сельского поселения</w:t>
      </w:r>
      <w:r>
        <w:rPr>
          <w:sz w:val="28"/>
        </w:rPr>
        <w:t xml:space="preserve"> предлага</w:t>
      </w:r>
      <w:r>
        <w:rPr>
          <w:sz w:val="28"/>
        </w:rPr>
        <w:t>е</w:t>
      </w:r>
      <w:r>
        <w:rPr>
          <w:sz w:val="28"/>
        </w:rPr>
        <w:t>тся к проекту сбалансированным, без дефицитным.</w:t>
      </w:r>
    </w:p>
    <w:p w14:paraId="08000000">
      <w:pPr>
        <w:ind w:firstLine="0" w:left="283" w:right="15"/>
        <w:jc w:val="right"/>
        <w:rPr>
          <w:sz w:val="28"/>
        </w:rPr>
      </w:pPr>
      <w:r>
        <w:rPr>
          <w:sz w:val="28"/>
        </w:rPr>
        <w:t>тыс. рублей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857"/>
        <w:gridCol w:w="2312"/>
        <w:gridCol w:w="2456"/>
        <w:gridCol w:w="2456"/>
      </w:tblGrid>
      <w:tr>
        <w:trPr>
          <w:trHeight w:hRule="atLeast" w:val="394"/>
          <w:tblHeader/>
        </w:trPr>
        <w:tc>
          <w:tcPr>
            <w:tcW w:type="dxa" w:w="28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9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Показатель</w:t>
            </w:r>
          </w:p>
        </w:tc>
        <w:tc>
          <w:tcPr>
            <w:tcW w:type="dxa" w:w="7224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A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Проект</w:t>
            </w:r>
          </w:p>
        </w:tc>
      </w:tr>
      <w:tr>
        <w:trPr>
          <w:trHeight w:hRule="atLeast" w:val="394"/>
          <w:tblHeader/>
        </w:trPr>
        <w:tc>
          <w:tcPr>
            <w:tcW w:type="dxa" w:w="28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3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B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2024 год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C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2025 год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D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2026 год</w:t>
            </w:r>
          </w:p>
        </w:tc>
      </w:tr>
      <w:tr>
        <w:trPr>
          <w:trHeight w:hRule="atLeast" w:val="834"/>
        </w:trPr>
        <w:tc>
          <w:tcPr>
            <w:tcW w:type="dxa" w:w="2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E000000">
            <w:pPr>
              <w:rPr>
                <w:sz w:val="28"/>
              </w:rPr>
            </w:pPr>
            <w:r>
              <w:rPr>
                <w:sz w:val="28"/>
              </w:rPr>
              <w:t>Источники финансирования дефицита, всего</w:t>
            </w:r>
          </w:p>
        </w:tc>
        <w:tc>
          <w:tcPr>
            <w:tcW w:type="dxa" w:w="23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F000000">
            <w:pPr>
              <w:pStyle w:val="Style_2"/>
              <w:ind w:firstLine="0" w:left="0"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222,1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</w:tr>
      <w:tr>
        <w:trPr>
          <w:trHeight w:hRule="atLeast" w:val="292"/>
        </w:trPr>
        <w:tc>
          <w:tcPr>
            <w:tcW w:type="dxa" w:w="2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rPr>
                <w:i w:val="1"/>
                <w:sz w:val="28"/>
              </w:rPr>
            </w:pPr>
            <w:r>
              <w:rPr>
                <w:i w:val="1"/>
                <w:sz w:val="28"/>
              </w:rPr>
              <w:t>%% к доходам без учета безвозмездных поступлений</w:t>
            </w:r>
          </w:p>
        </w:tc>
        <w:tc>
          <w:tcPr>
            <w:tcW w:type="dxa" w:w="23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0,5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</w:tr>
      <w:tr>
        <w:trPr>
          <w:trHeight w:hRule="atLeast" w:val="398"/>
        </w:trPr>
        <w:tc>
          <w:tcPr>
            <w:tcW w:type="dxa" w:w="2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00000">
            <w:pPr>
              <w:rPr>
                <w:i w:val="1"/>
                <w:sz w:val="28"/>
              </w:rPr>
            </w:pPr>
            <w:r>
              <w:rPr>
                <w:i w:val="1"/>
                <w:color w:val="000000"/>
                <w:sz w:val="28"/>
              </w:rPr>
              <w:t>в том числе:</w:t>
            </w:r>
          </w:p>
        </w:tc>
        <w:tc>
          <w:tcPr>
            <w:tcW w:type="dxa" w:w="23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</w:tr>
      <w:tr>
        <w:trPr>
          <w:trHeight w:hRule="atLeast" w:val="430"/>
        </w:trPr>
        <w:tc>
          <w:tcPr>
            <w:tcW w:type="dxa" w:w="2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rPr>
                <w:sz w:val="28"/>
              </w:rPr>
            </w:pPr>
            <w:r>
              <w:rPr>
                <w:sz w:val="28"/>
              </w:rPr>
              <w:t>Остатки средств</w:t>
            </w:r>
          </w:p>
        </w:tc>
        <w:tc>
          <w:tcPr>
            <w:tcW w:type="dxa" w:w="23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222,1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4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</w:tr>
    </w:tbl>
    <w:p w14:paraId="1E000000">
      <w:pPr>
        <w:ind w:firstLine="709" w:left="0"/>
        <w:jc w:val="both"/>
      </w:pPr>
      <w:r>
        <w:t xml:space="preserve"> </w:t>
      </w:r>
    </w:p>
    <w:p w14:paraId="1F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В целях обеспечения ликвидности будет продолжена практика по эффективному управлению остатками средств на едином счете местного бюджета.</w:t>
      </w:r>
    </w:p>
    <w:p w14:paraId="20000000">
      <w:pPr>
        <w:pStyle w:val="Style_3"/>
        <w:tabs>
          <w:tab w:leader="none" w:pos="2340" w:val="left"/>
        </w:tabs>
        <w:ind w:firstLine="709" w:left="0"/>
        <w:jc w:val="both"/>
      </w:pPr>
      <w:r>
        <w:t xml:space="preserve">Предоставление муниципальных гарантий Зимовниковского района </w:t>
      </w:r>
      <w:r>
        <w:t>в 20</w:t>
      </w:r>
      <w:r>
        <w:t>24</w:t>
      </w:r>
      <w:r>
        <w:t xml:space="preserve"> году и в плановом периоде 2025</w:t>
      </w:r>
      <w:r>
        <w:t xml:space="preserve"> и 2026</w:t>
      </w:r>
      <w:r>
        <w:t xml:space="preserve"> годов не планируется.</w:t>
      </w:r>
      <w:r>
        <w:t xml:space="preserve"> </w:t>
      </w:r>
    </w:p>
    <w:p w14:paraId="21000000">
      <w:pPr>
        <w:ind w:firstLine="709" w:left="0"/>
        <w:jc w:val="both"/>
      </w:pPr>
    </w:p>
    <w:p w14:paraId="22000000">
      <w:pPr>
        <w:ind/>
        <w:jc w:val="both"/>
        <w:rPr>
          <w:sz w:val="28"/>
        </w:rPr>
      </w:pPr>
      <w:r>
        <w:rPr>
          <w:sz w:val="28"/>
        </w:rPr>
        <w:t xml:space="preserve">         </w:t>
      </w:r>
    </w:p>
    <w:p w14:paraId="23000000">
      <w:pPr>
        <w:ind/>
        <w:jc w:val="both"/>
        <w:rPr>
          <w:sz w:val="28"/>
        </w:rPr>
      </w:pPr>
      <w:r>
        <w:rPr>
          <w:sz w:val="28"/>
        </w:rPr>
        <w:t xml:space="preserve">Глава Администрации Зимовниковского </w:t>
      </w:r>
    </w:p>
    <w:p w14:paraId="24000000">
      <w:pPr>
        <w:tabs>
          <w:tab w:leader="none" w:pos="7860" w:val="left"/>
        </w:tabs>
        <w:ind/>
        <w:jc w:val="both"/>
      </w:pPr>
      <w:r>
        <w:rPr>
          <w:sz w:val="28"/>
        </w:rPr>
        <w:t>сельского поселения</w:t>
      </w:r>
      <w:r>
        <w:t xml:space="preserve">         </w:t>
      </w:r>
      <w:r>
        <w:tab/>
      </w:r>
      <w:r>
        <w:rPr>
          <w:sz w:val="28"/>
        </w:rPr>
        <w:t>А.В. Мартыненко</w:t>
      </w:r>
    </w:p>
    <w:sectPr>
      <w:pgSz w:h="16840" w:orient="portrait" w:w="11907"/>
      <w:pgMar w:bottom="851" w:footer="720" w:gutter="0" w:header="720" w:left="851" w:right="851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4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3" w:type="paragraph">
    <w:name w:val="Body Text"/>
    <w:basedOn w:val="Style_4"/>
    <w:link w:val="Style_3_ch"/>
    <w:pPr>
      <w:ind/>
      <w:jc w:val="center"/>
    </w:pPr>
    <w:rPr>
      <w:sz w:val="28"/>
    </w:rPr>
  </w:style>
  <w:style w:styleId="Style_3_ch" w:type="character">
    <w:name w:val="Body Text"/>
    <w:basedOn w:val="Style_4_ch"/>
    <w:link w:val="Style_3"/>
    <w:rPr>
      <w:sz w:val="28"/>
    </w:rPr>
  </w:style>
  <w:style w:styleId="Style_10" w:type="paragraph">
    <w:name w:val="toc 3"/>
    <w:next w:val="Style_4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4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4"/>
    <w:next w:val="Style_4"/>
    <w:link w:val="Style_12_ch"/>
    <w:uiPriority w:val="9"/>
    <w:qFormat/>
    <w:pPr>
      <w:keepNext w:val="1"/>
      <w:ind/>
      <w:jc w:val="right"/>
      <w:outlineLvl w:val="0"/>
    </w:pPr>
    <w:rPr>
      <w:sz w:val="28"/>
    </w:rPr>
  </w:style>
  <w:style w:styleId="Style_12_ch" w:type="character">
    <w:name w:val="heading 1"/>
    <w:basedOn w:val="Style_4_ch"/>
    <w:link w:val="Style_12"/>
    <w:rPr>
      <w:sz w:val="28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4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4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2" w:type="paragraph">
    <w:name w:val="ConsPlusNormal"/>
    <w:link w:val="Style_2_ch"/>
    <w:pPr>
      <w:ind w:firstLine="720" w:left="0"/>
    </w:pPr>
    <w:rPr>
      <w:rFonts w:ascii="Arial" w:hAnsi="Arial"/>
    </w:rPr>
  </w:style>
  <w:style w:styleId="Style_2_ch" w:type="character">
    <w:name w:val="ConsPlusNormal"/>
    <w:link w:val="Style_2"/>
    <w:rPr>
      <w:rFonts w:ascii="Arial" w:hAnsi="Arial"/>
    </w:rPr>
  </w:style>
  <w:style w:styleId="Style_18" w:type="paragraph">
    <w:name w:val="toc 8"/>
    <w:next w:val="Style_4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pj"/>
    <w:basedOn w:val="Style_4"/>
    <w:link w:val="Style_19_ch"/>
    <w:pPr>
      <w:spacing w:afterAutospacing="on" w:beforeAutospacing="on"/>
      <w:ind/>
    </w:pPr>
  </w:style>
  <w:style w:styleId="Style_19_ch" w:type="character">
    <w:name w:val="pj"/>
    <w:basedOn w:val="Style_4_ch"/>
    <w:link w:val="Style_19"/>
  </w:style>
  <w:style w:styleId="Style_20" w:type="paragraph">
    <w:name w:val="apple-converted-space"/>
    <w:basedOn w:val="Style_21"/>
    <w:link w:val="Style_20_ch"/>
  </w:style>
  <w:style w:styleId="Style_20_ch" w:type="character">
    <w:name w:val="apple-converted-space"/>
    <w:basedOn w:val="Style_21_ch"/>
    <w:link w:val="Style_20"/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4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4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4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4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paragraph">
    <w:name w:val="Balloon Text"/>
    <w:basedOn w:val="Style_4"/>
    <w:link w:val="Style_27_ch"/>
    <w:rPr>
      <w:rFonts w:ascii="Tahoma" w:hAnsi="Tahoma"/>
      <w:sz w:val="16"/>
    </w:rPr>
  </w:style>
  <w:style w:styleId="Style_27_ch" w:type="character">
    <w:name w:val="Balloon Text"/>
    <w:basedOn w:val="Style_4_ch"/>
    <w:link w:val="Style_27"/>
    <w:rPr>
      <w:rFonts w:ascii="Tahoma" w:hAnsi="Tahoma"/>
      <w:sz w:val="1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8" w:type="table">
    <w:name w:val="Table Classic 1"/>
    <w:basedOn w:val="Style_1"/>
    <w:tblPr>
      <w:tblBorders>
        <w:top w:color="000000" w:sz="12" w:val="single"/>
        <w:left w:color="000000" w:val="nil"/>
        <w:bottom w:color="000000" w:sz="12" w:val="single"/>
        <w:right w:color="000000" w:val="nil"/>
        <w:insideH w:color="000000" w:val="nil"/>
        <w:insideV w:color="000000" w:val="nil"/>
      </w:tblBorders>
    </w:tblPr>
  </w:style>
  <w:style w:styleId="Style_29" w:type="table">
    <w:name w:val="Table Grid"/>
    <w:basedOn w:val="Style_28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2023-11-09T12:56:39Z</dcterms:modified>
</cp:coreProperties>
</file>